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left"/>
        <w:rPr>
          <w:rFonts w:ascii="宋体" w:hAnsi="宋体" w:eastAsia="宋体" w:cs="宋体"/>
          <w:color w:val="666666"/>
          <w:kern w:val="0"/>
          <w:szCs w:val="21"/>
        </w:rPr>
      </w:pPr>
      <w:r>
        <w:rPr>
          <w:rFonts w:hint="eastAsia" w:ascii="宋体" w:hAnsi="宋体" w:eastAsia="宋体" w:cs="宋体"/>
          <w:color w:val="666666"/>
          <w:kern w:val="0"/>
          <w:szCs w:val="21"/>
        </w:rPr>
        <w:t>直流电参数测</w:t>
      </w:r>
      <w:r>
        <w:rPr>
          <w:rFonts w:ascii="宋体" w:hAnsi="宋体" w:eastAsia="宋体" w:cs="宋体"/>
          <w:color w:val="666666"/>
          <w:kern w:val="0"/>
          <w:szCs w:val="21"/>
        </w:rPr>
        <w:t>量</w:t>
      </w:r>
      <w:r>
        <w:rPr>
          <w:rFonts w:hint="eastAsia" w:ascii="宋体" w:hAnsi="宋体" w:eastAsia="宋体" w:cs="宋体"/>
          <w:color w:val="666666"/>
          <w:kern w:val="0"/>
          <w:szCs w:val="21"/>
        </w:rPr>
        <w:t>仪可用于家电测量，电机和电动工具的测量，发电机组测量，电源产品及节能行业等领域。</w:t>
      </w:r>
    </w:p>
    <w:p>
      <w:pPr>
        <w:widowControl/>
        <w:spacing w:line="360" w:lineRule="auto"/>
        <w:jc w:val="left"/>
        <w:rPr>
          <w:rFonts w:ascii="宋体" w:hAnsi="宋体" w:eastAsia="宋体" w:cs="宋体"/>
          <w:color w:val="666666"/>
          <w:kern w:val="0"/>
          <w:szCs w:val="21"/>
        </w:rPr>
      </w:pPr>
      <w:r>
        <w:rPr>
          <w:rFonts w:hint="eastAsia" w:ascii="宋体" w:hAnsi="宋体" w:eastAsia="宋体" w:cs="宋体"/>
          <w:color w:val="666666"/>
          <w:kern w:val="0"/>
          <w:szCs w:val="21"/>
        </w:rPr>
        <w:t>一、测量范围和精度：          </w:t>
      </w:r>
    </w:p>
    <w:tbl>
      <w:tblPr>
        <w:tblStyle w:val="5"/>
        <w:tblW w:w="8923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10"/>
        <w:gridCol w:w="2126"/>
        <w:gridCol w:w="1843"/>
        <w:gridCol w:w="2236"/>
        <w:gridCol w:w="1308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410" w:type="dxa"/>
            <w:tcBorders>
              <w:top w:val="inset" w:color="auto" w:sz="6" w:space="0"/>
              <w:left w:val="inset" w:color="auto" w:sz="6" w:space="0"/>
              <w:bottom w:val="inset" w:color="auto" w:sz="6" w:space="0"/>
              <w:right w:val="in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666666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Cs w:val="21"/>
              </w:rPr>
              <w:t>测量参数</w:t>
            </w:r>
          </w:p>
        </w:tc>
        <w:tc>
          <w:tcPr>
            <w:tcW w:w="2126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666666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Cs w:val="21"/>
              </w:rPr>
              <w:t>测量范围</w:t>
            </w:r>
          </w:p>
        </w:tc>
        <w:tc>
          <w:tcPr>
            <w:tcW w:w="1843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666666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Cs w:val="21"/>
              </w:rPr>
              <w:t>测量误差</w:t>
            </w:r>
          </w:p>
        </w:tc>
        <w:tc>
          <w:tcPr>
            <w:tcW w:w="2236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666666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Cs w:val="21"/>
              </w:rPr>
              <w:t>分辨力</w:t>
            </w:r>
          </w:p>
        </w:tc>
        <w:tc>
          <w:tcPr>
            <w:tcW w:w="1308" w:type="dxa"/>
            <w:tcBorders>
              <w:top w:val="inset" w:color="auto" w:sz="6" w:space="0"/>
              <w:left w:val="nil"/>
              <w:bottom w:val="inset" w:color="auto" w:sz="6" w:space="0"/>
              <w:right w:val="in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eastAsia="宋体" w:cs="宋体"/>
                <w:color w:val="666666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Cs w:val="21"/>
              </w:rPr>
              <w:t>过载能力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10" w:type="dxa"/>
            <w:tcBorders>
              <w:top w:val="nil"/>
              <w:left w:val="inset" w:color="auto" w:sz="6" w:space="0"/>
              <w:bottom w:val="inset" w:color="auto" w:sz="6" w:space="0"/>
              <w:right w:val="in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color w:val="666666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Cs w:val="21"/>
              </w:rPr>
              <w:t>电压(DC)</w:t>
            </w:r>
          </w:p>
        </w:tc>
        <w:tc>
          <w:tcPr>
            <w:tcW w:w="2126" w:type="dxa"/>
            <w:tcBorders>
              <w:top w:val="nil"/>
              <w:left w:val="nil"/>
              <w:bottom w:val="inset" w:color="auto" w:sz="6" w:space="0"/>
              <w:right w:val="in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color w:val="666666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Cs w:val="21"/>
              </w:rPr>
              <w:t>（0.80～300.0）V</w:t>
            </w:r>
          </w:p>
        </w:tc>
        <w:tc>
          <w:tcPr>
            <w:tcW w:w="1843" w:type="dxa"/>
            <w:vMerge w:val="restart"/>
            <w:tcBorders>
              <w:top w:val="nil"/>
              <w:left w:val="nil"/>
              <w:bottom w:val="inset" w:color="auto" w:sz="6" w:space="0"/>
              <w:right w:val="in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color w:val="666666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Cs w:val="21"/>
              </w:rPr>
              <w:t>±（0.4%读数+0.1%量程）</w:t>
            </w:r>
          </w:p>
        </w:tc>
        <w:tc>
          <w:tcPr>
            <w:tcW w:w="2236" w:type="dxa"/>
            <w:tcBorders>
              <w:top w:val="nil"/>
              <w:left w:val="nil"/>
              <w:bottom w:val="inset" w:color="auto" w:sz="6" w:space="0"/>
              <w:right w:val="in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color w:val="666666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Cs w:val="21"/>
              </w:rPr>
              <w:t>0.01V</w:t>
            </w:r>
          </w:p>
        </w:tc>
        <w:tc>
          <w:tcPr>
            <w:tcW w:w="1308" w:type="dxa"/>
            <w:tcBorders>
              <w:top w:val="nil"/>
              <w:left w:val="nil"/>
              <w:bottom w:val="inset" w:color="auto" w:sz="6" w:space="0"/>
              <w:right w:val="in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color w:val="666666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Cs w:val="21"/>
              </w:rPr>
              <w:t>±320V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10" w:type="dxa"/>
            <w:vMerge w:val="restart"/>
            <w:tcBorders>
              <w:top w:val="nil"/>
              <w:left w:val="inset" w:color="auto" w:sz="6" w:space="0"/>
              <w:bottom w:val="inset" w:color="auto" w:sz="6" w:space="0"/>
              <w:right w:val="in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color w:val="666666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Cs w:val="21"/>
              </w:rPr>
              <w:t>电流(DC)</w:t>
            </w:r>
          </w:p>
        </w:tc>
        <w:tc>
          <w:tcPr>
            <w:tcW w:w="2126" w:type="dxa"/>
            <w:tcBorders>
              <w:top w:val="nil"/>
              <w:left w:val="nil"/>
              <w:bottom w:val="inset" w:color="auto" w:sz="6" w:space="0"/>
              <w:right w:val="in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color w:val="666666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Cs w:val="21"/>
              </w:rPr>
              <w:t>（0.050～50.00）A</w:t>
            </w:r>
          </w:p>
        </w:tc>
        <w:tc>
          <w:tcPr>
            <w:tcW w:w="1843" w:type="dxa"/>
            <w:vMerge w:val="continue"/>
            <w:tcBorders>
              <w:top w:val="nil"/>
              <w:left w:val="nil"/>
              <w:bottom w:val="inset" w:color="auto" w:sz="6" w:space="0"/>
              <w:right w:val="in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color w:val="666666"/>
                <w:kern w:val="0"/>
                <w:szCs w:val="21"/>
              </w:rPr>
            </w:pPr>
          </w:p>
        </w:tc>
        <w:tc>
          <w:tcPr>
            <w:tcW w:w="2236" w:type="dxa"/>
            <w:vMerge w:val="restart"/>
            <w:tcBorders>
              <w:top w:val="nil"/>
              <w:left w:val="nil"/>
              <w:bottom w:val="inset" w:color="auto" w:sz="6" w:space="0"/>
              <w:right w:val="in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color w:val="666666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Cs w:val="21"/>
              </w:rPr>
              <w:t>&lt;10A 0.001A</w:t>
            </w:r>
            <w:r>
              <w:rPr>
                <w:rFonts w:hint="eastAsia" w:ascii="宋体" w:hAnsi="宋体" w:eastAsia="宋体" w:cs="宋体"/>
                <w:color w:val="666666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666666"/>
                <w:kern w:val="0"/>
                <w:szCs w:val="21"/>
              </w:rPr>
              <w:t>≥10A 0.01A</w:t>
            </w:r>
            <w:r>
              <w:rPr>
                <w:rFonts w:hint="eastAsia" w:ascii="宋体" w:hAnsi="宋体" w:eastAsia="宋体" w:cs="宋体"/>
                <w:color w:val="666666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666666"/>
                <w:kern w:val="0"/>
                <w:szCs w:val="21"/>
              </w:rPr>
              <w:t>≥100A 0.1A</w:t>
            </w:r>
            <w:r>
              <w:rPr>
                <w:rFonts w:hint="eastAsia" w:ascii="宋体" w:hAnsi="宋体" w:eastAsia="宋体" w:cs="宋体"/>
                <w:color w:val="666666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666666"/>
                <w:kern w:val="0"/>
                <w:szCs w:val="21"/>
              </w:rPr>
              <w:t>≥1000A  1A</w:t>
            </w:r>
          </w:p>
        </w:tc>
        <w:tc>
          <w:tcPr>
            <w:tcW w:w="1308" w:type="dxa"/>
            <w:tcBorders>
              <w:top w:val="nil"/>
              <w:left w:val="nil"/>
              <w:bottom w:val="inset" w:color="auto" w:sz="6" w:space="0"/>
              <w:right w:val="in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color w:val="666666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Cs w:val="21"/>
              </w:rPr>
              <w:t>±52.5A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10" w:type="dxa"/>
            <w:vMerge w:val="continue"/>
            <w:tcBorders>
              <w:top w:val="nil"/>
              <w:left w:val="inset" w:color="auto" w:sz="6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color w:val="666666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inset" w:color="auto" w:sz="6" w:space="0"/>
              <w:right w:val="in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color w:val="666666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Cs w:val="21"/>
              </w:rPr>
              <w:t>75mV</w:t>
            </w:r>
          </w:p>
        </w:tc>
        <w:tc>
          <w:tcPr>
            <w:tcW w:w="1843" w:type="dxa"/>
            <w:vMerge w:val="continue"/>
            <w:tcBorders>
              <w:top w:val="nil"/>
              <w:left w:val="nil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color w:val="666666"/>
                <w:kern w:val="0"/>
                <w:szCs w:val="21"/>
              </w:rPr>
            </w:pPr>
          </w:p>
        </w:tc>
        <w:tc>
          <w:tcPr>
            <w:tcW w:w="2236" w:type="dxa"/>
            <w:vMerge w:val="continue"/>
            <w:tcBorders>
              <w:top w:val="nil"/>
              <w:left w:val="nil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color w:val="666666"/>
                <w:kern w:val="0"/>
                <w:szCs w:val="21"/>
              </w:rPr>
            </w:pPr>
          </w:p>
        </w:tc>
        <w:tc>
          <w:tcPr>
            <w:tcW w:w="1308" w:type="dxa"/>
            <w:tcBorders>
              <w:top w:val="nil"/>
              <w:left w:val="nil"/>
              <w:bottom w:val="inset" w:color="auto" w:sz="6" w:space="0"/>
              <w:right w:val="in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color w:val="666666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Cs w:val="21"/>
              </w:rPr>
              <w:t>1.05倍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10" w:type="dxa"/>
            <w:tcBorders>
              <w:top w:val="nil"/>
              <w:left w:val="inset" w:color="auto" w:sz="6" w:space="0"/>
              <w:bottom w:val="inset" w:color="auto" w:sz="6" w:space="0"/>
              <w:right w:val="in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color w:val="666666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Cs w:val="21"/>
              </w:rPr>
              <w:t>功率</w:t>
            </w:r>
          </w:p>
        </w:tc>
        <w:tc>
          <w:tcPr>
            <w:tcW w:w="2126" w:type="dxa"/>
            <w:tcBorders>
              <w:top w:val="nil"/>
              <w:left w:val="nil"/>
              <w:bottom w:val="inset" w:color="auto" w:sz="6" w:space="0"/>
              <w:right w:val="in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color w:val="666666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Cs w:val="21"/>
              </w:rPr>
              <w:t>U*I</w:t>
            </w:r>
          </w:p>
        </w:tc>
        <w:tc>
          <w:tcPr>
            <w:tcW w:w="1843" w:type="dxa"/>
            <w:tcBorders>
              <w:top w:val="nil"/>
              <w:left w:val="nil"/>
              <w:bottom w:val="inset" w:color="auto" w:sz="6" w:space="0"/>
              <w:right w:val="in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color w:val="666666"/>
                <w:kern w:val="0"/>
                <w:szCs w:val="21"/>
              </w:rPr>
            </w:pPr>
          </w:p>
        </w:tc>
        <w:tc>
          <w:tcPr>
            <w:tcW w:w="2236" w:type="dxa"/>
            <w:tcBorders>
              <w:top w:val="nil"/>
              <w:left w:val="nil"/>
              <w:bottom w:val="inset" w:color="auto" w:sz="6" w:space="0"/>
              <w:right w:val="in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color w:val="666666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666666"/>
                <w:kern w:val="0"/>
                <w:szCs w:val="21"/>
              </w:rPr>
              <w:t>&lt;1000W 0.1W≥1000W1W</w:t>
            </w:r>
            <w:r>
              <w:rPr>
                <w:rFonts w:hint="eastAsia" w:ascii="宋体" w:hAnsi="宋体" w:eastAsia="宋体" w:cs="宋体"/>
                <w:color w:val="666666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666666"/>
                <w:kern w:val="0"/>
                <w:szCs w:val="21"/>
              </w:rPr>
              <w:t>≥2kW  10W</w:t>
            </w:r>
          </w:p>
        </w:tc>
        <w:tc>
          <w:tcPr>
            <w:tcW w:w="1308" w:type="dxa"/>
            <w:tcBorders>
              <w:top w:val="nil"/>
              <w:left w:val="nil"/>
              <w:bottom w:val="inset" w:color="auto" w:sz="6" w:space="0"/>
              <w:right w:val="inset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eastAsia="宋体" w:cs="宋体"/>
                <w:color w:val="666666"/>
                <w:kern w:val="0"/>
                <w:szCs w:val="21"/>
              </w:rPr>
            </w:pPr>
          </w:p>
        </w:tc>
      </w:tr>
    </w:tbl>
    <w:p>
      <w:pPr>
        <w:widowControl/>
        <w:shd w:val="clear" w:color="auto" w:fill="FFFFFF"/>
        <w:spacing w:line="360" w:lineRule="auto"/>
        <w:jc w:val="left"/>
        <w:rPr>
          <w:rFonts w:ascii="宋体" w:hAnsi="宋体" w:eastAsia="宋体" w:cs="宋体"/>
          <w:color w:val="666666"/>
          <w:kern w:val="0"/>
          <w:szCs w:val="21"/>
        </w:rPr>
      </w:pPr>
      <w:r>
        <w:rPr>
          <w:rFonts w:ascii="宋体" w:hAnsi="宋体" w:eastAsia="宋体" w:cs="宋体"/>
          <w:color w:val="666666"/>
          <w:kern w:val="0"/>
          <w:szCs w:val="21"/>
        </w:rPr>
        <w:t>二、主要特点：</w:t>
      </w:r>
    </w:p>
    <w:p>
      <w:pPr>
        <w:widowControl/>
        <w:shd w:val="clear" w:color="auto" w:fill="FFFFFF"/>
        <w:spacing w:line="360" w:lineRule="auto"/>
        <w:jc w:val="left"/>
        <w:rPr>
          <w:rFonts w:ascii="宋体" w:hAnsi="宋体" w:eastAsia="宋体" w:cs="宋体"/>
          <w:color w:val="666666"/>
          <w:kern w:val="0"/>
          <w:szCs w:val="21"/>
        </w:rPr>
      </w:pPr>
      <w:r>
        <w:rPr>
          <w:rFonts w:ascii="宋体" w:hAnsi="宋体" w:eastAsia="宋体" w:cs="宋体"/>
          <w:color w:val="666666"/>
          <w:kern w:val="0"/>
          <w:szCs w:val="21"/>
        </w:rPr>
        <w:t>·适用于直流用电设备的电压、电流、功率参数的检测。</w:t>
      </w:r>
    </w:p>
    <w:p>
      <w:pPr>
        <w:widowControl/>
        <w:shd w:val="clear" w:color="auto" w:fill="FFFFFF"/>
        <w:spacing w:line="360" w:lineRule="auto"/>
        <w:jc w:val="left"/>
        <w:rPr>
          <w:rFonts w:ascii="宋体" w:hAnsi="宋体" w:eastAsia="宋体" w:cs="宋体"/>
          <w:color w:val="666666"/>
          <w:kern w:val="0"/>
          <w:szCs w:val="21"/>
        </w:rPr>
      </w:pPr>
      <w:r>
        <w:rPr>
          <w:rFonts w:ascii="宋体" w:hAnsi="宋体" w:eastAsia="宋体" w:cs="宋体"/>
          <w:color w:val="666666"/>
          <w:kern w:val="0"/>
          <w:szCs w:val="21"/>
        </w:rPr>
        <w:t>·采用12位LED数字显示，可同时显示电压、电流、功率。</w:t>
      </w:r>
    </w:p>
    <w:p>
      <w:pPr>
        <w:widowControl/>
        <w:shd w:val="clear" w:color="auto" w:fill="FFFFFF"/>
        <w:spacing w:line="360" w:lineRule="auto"/>
        <w:jc w:val="left"/>
        <w:rPr>
          <w:rFonts w:ascii="宋体" w:hAnsi="宋体" w:eastAsia="宋体" w:cs="宋体"/>
          <w:color w:val="666666"/>
          <w:kern w:val="0"/>
          <w:szCs w:val="21"/>
        </w:rPr>
      </w:pPr>
      <w:r>
        <w:rPr>
          <w:rFonts w:ascii="宋体" w:hAnsi="宋体" w:eastAsia="宋体" w:cs="宋体"/>
          <w:color w:val="666666"/>
          <w:kern w:val="0"/>
          <w:szCs w:val="21"/>
        </w:rPr>
        <w:t>·电压、电流量程可自动切换，线性范围宽，读数重复性好，性能稳定。</w:t>
      </w:r>
    </w:p>
    <w:p>
      <w:pPr>
        <w:widowControl/>
        <w:shd w:val="clear" w:color="auto" w:fill="FFFFFF"/>
        <w:spacing w:line="360" w:lineRule="auto"/>
        <w:jc w:val="left"/>
        <w:rPr>
          <w:rFonts w:ascii="宋体" w:hAnsi="宋体" w:eastAsia="宋体" w:cs="宋体"/>
          <w:color w:val="666666"/>
          <w:kern w:val="0"/>
          <w:szCs w:val="21"/>
        </w:rPr>
      </w:pPr>
      <w:r>
        <w:rPr>
          <w:rFonts w:ascii="宋体" w:hAnsi="宋体" w:eastAsia="宋体" w:cs="宋体"/>
          <w:color w:val="666666"/>
          <w:kern w:val="0"/>
          <w:szCs w:val="21"/>
        </w:rPr>
        <w:t>·方便的锁定功能保证测量数据的同时性及操</w:t>
      </w:r>
      <w:bookmarkStart w:id="0" w:name="_GoBack"/>
      <w:bookmarkEnd w:id="0"/>
      <w:r>
        <w:rPr>
          <w:rFonts w:ascii="宋体" w:hAnsi="宋体" w:eastAsia="宋体" w:cs="宋体"/>
          <w:color w:val="666666"/>
          <w:kern w:val="0"/>
          <w:szCs w:val="21"/>
        </w:rPr>
        <w:t>作的方便性。</w:t>
      </w:r>
    </w:p>
    <w:p>
      <w:pPr>
        <w:widowControl/>
        <w:shd w:val="clear" w:color="auto" w:fill="FFFFFF"/>
        <w:spacing w:line="360" w:lineRule="auto"/>
        <w:jc w:val="left"/>
        <w:rPr>
          <w:rFonts w:ascii="宋体" w:hAnsi="宋体" w:eastAsia="宋体" w:cs="宋体"/>
          <w:color w:val="666666"/>
          <w:kern w:val="0"/>
          <w:szCs w:val="21"/>
        </w:rPr>
      </w:pPr>
      <w:r>
        <w:rPr>
          <w:rFonts w:ascii="宋体" w:hAnsi="宋体" w:eastAsia="宋体" w:cs="宋体"/>
          <w:color w:val="666666"/>
          <w:kern w:val="0"/>
          <w:szCs w:val="21"/>
        </w:rPr>
        <w:t>·配有打印接口和串行RS232接口。</w:t>
      </w:r>
    </w:p>
    <w:p>
      <w:pPr>
        <w:widowControl/>
        <w:shd w:val="clear" w:color="auto" w:fill="FFFFFF"/>
        <w:spacing w:line="360" w:lineRule="auto"/>
        <w:jc w:val="left"/>
        <w:rPr>
          <w:rFonts w:ascii="宋体" w:hAnsi="宋体" w:eastAsia="宋体" w:cs="宋体"/>
          <w:color w:val="666666"/>
          <w:kern w:val="0"/>
          <w:szCs w:val="21"/>
        </w:rPr>
      </w:pPr>
    </w:p>
    <w:p>
      <w:pPr>
        <w:widowControl/>
        <w:shd w:val="clear" w:color="auto" w:fill="FFFFFF"/>
        <w:spacing w:line="360" w:lineRule="auto"/>
        <w:jc w:val="left"/>
        <w:rPr>
          <w:rFonts w:ascii="宋体" w:hAnsi="宋体" w:eastAsia="宋体" w:cs="宋体"/>
          <w:color w:val="666666"/>
          <w:kern w:val="0"/>
          <w:szCs w:val="21"/>
        </w:rPr>
      </w:pPr>
    </w:p>
    <w:p>
      <w:pPr>
        <w:widowControl/>
        <w:shd w:val="clear" w:color="auto" w:fill="FFFFFF"/>
        <w:spacing w:line="360" w:lineRule="auto"/>
        <w:jc w:val="left"/>
        <w:rPr>
          <w:rFonts w:ascii="宋体" w:hAnsi="宋体" w:eastAsia="宋体" w:cs="宋体"/>
          <w:color w:val="666666"/>
          <w:kern w:val="0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mVhNjRiZDliYzYyNGMxOTQzYWNkNTA3M2UxY2Y2YTUifQ=="/>
  </w:docVars>
  <w:rsids>
    <w:rsidRoot w:val="00136633"/>
    <w:rsid w:val="00136633"/>
    <w:rsid w:val="005A60E3"/>
    <w:rsid w:val="006863FA"/>
    <w:rsid w:val="00786C75"/>
    <w:rsid w:val="008952EE"/>
    <w:rsid w:val="008F10CC"/>
    <w:rsid w:val="00B25A3A"/>
    <w:rsid w:val="00BA46AD"/>
    <w:rsid w:val="00BD6503"/>
    <w:rsid w:val="00ED7604"/>
    <w:rsid w:val="00FA0D85"/>
    <w:rsid w:val="6F1F640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261</Words>
  <Characters>358</Characters>
  <Lines>2</Lines>
  <Paragraphs>1</Paragraphs>
  <TotalTime>207</TotalTime>
  <ScaleCrop>false</ScaleCrop>
  <LinksUpToDate>false</LinksUpToDate>
  <CharactersWithSpaces>376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2021-04-09T05:54:00Z</dcterms:created>
  <dc:creator>Admin</dc:creator>
  <cp:lastModifiedBy>8861</cp:lastModifiedBy>
  <dcterms:modified xsi:type="dcterms:W3CDTF">2024-06-15T07:53:24Z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7AF834BE006E4D8B81AF0087AB0C3CAB_12</vt:lpwstr>
  </property>
</Properties>
</file>